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Informe de seguimiento</w:t>
        <w:br/>
        <w:t>Proyecto BAYO</w:t>
      </w:r>
    </w:p>
    <w:p>
      <w:pPr>
        <w:pStyle w:val="Nota"/>
      </w:pPr>
      <w:r>
        <w:t>Ampliación de nave industrial · Estructura metálica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81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b/>
                <w:color w:val="17365D"/>
                <w:sz w:val="18"/>
              </w:rPr>
              <w:t>Fecha del informe</w:t>
            </w:r>
          </w:p>
        </w:tc>
        <w:tc>
          <w:tcPr>
            <w:tcW w:type="dxa" w:w="2268"/>
            <w:shd w:fill="F5F8FB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25/10/2026</w:t>
            </w:r>
          </w:p>
        </w:tc>
        <w:tc>
          <w:tcPr>
            <w:tcW w:type="dxa" w:w="181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b/>
                <w:color w:val="17365D"/>
                <w:sz w:val="18"/>
              </w:rPr>
              <w:t>Periodo analizado</w:t>
            </w:r>
          </w:p>
        </w:tc>
        <w:tc>
          <w:tcPr>
            <w:tcW w:type="dxa" w:w="2268"/>
            <w:shd w:fill="F5F8FB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02/09/2026 - 25/10/2026</w:t>
            </w:r>
          </w:p>
        </w:tc>
      </w:tr>
      <w:tr>
        <w:tc>
          <w:tcPr>
            <w:tcW w:type="dxa" w:w="181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b/>
                <w:color w:val="17365D"/>
                <w:sz w:val="18"/>
              </w:rPr>
              <w:t>Fin previsto</w:t>
            </w:r>
          </w:p>
        </w:tc>
        <w:tc>
          <w:tcPr>
            <w:tcW w:type="dxa" w:w="2268"/>
            <w:shd w:fill="F5F8FB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30/11/2026</w:t>
            </w:r>
          </w:p>
        </w:tc>
        <w:tc>
          <w:tcPr>
            <w:tcW w:type="dxa" w:w="181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b/>
                <w:color w:val="17365D"/>
                <w:sz w:val="18"/>
              </w:rPr>
              <w:t>Estado general</w:t>
            </w:r>
          </w:p>
        </w:tc>
        <w:tc>
          <w:tcPr>
            <w:tcW w:type="dxa" w:w="2268"/>
            <w:shd w:fill="F5F8FB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En ejecución</w:t>
            </w:r>
          </w:p>
        </w:tc>
      </w:tr>
    </w:tbl>
    <w:p>
      <w:pPr>
        <w:pStyle w:val="Heading1"/>
      </w:pPr>
      <w:r>
        <w:t>Resumen ejecutivo</w:t>
      </w:r>
    </w:p>
    <w:p>
      <w:pPr>
        <w:pStyle w:val="ListBullet"/>
        <w:spacing w:after="60"/>
      </w:pPr>
      <w:r>
        <w:t>El avance global estimado es del 51 %, frente al 58 % previsto. La principal desviación se concentra en fabricación, con un avance del 54 % frente al 61 % planificado.</w:t>
      </w:r>
    </w:p>
    <w:p>
      <w:pPr>
        <w:pStyle w:val="ListBullet"/>
        <w:spacing w:after="60"/>
      </w:pPr>
      <w:r>
        <w:t>La ingeniería de detalle está prácticamente finalizada, pero sigue pendiente la validación de la unión D-17 y la revisión de dos planos de montaje solicitada tras una modificación del cliente.</w:t>
      </w:r>
    </w:p>
    <w:p>
      <w:pPr>
        <w:pStyle w:val="ListBullet"/>
        <w:spacing w:after="60"/>
      </w:pPr>
      <w:r>
        <w:t>La tornillería de alta resistencia se ha recibido aproximadamente al 78 %. El segundo lote está previsto para el 29/10/2026 y un retraso podría afectar a la preparación de conjuntos y a la expedición.</w:t>
      </w:r>
    </w:p>
    <w:p>
      <w:pPr>
        <w:pStyle w:val="ListBullet"/>
        <w:spacing w:after="60"/>
      </w:pPr>
      <w:r>
        <w:t>Dos uniones soldadas están pendientes de reinspección por ultrasonidos, prevista para el 27/10/2026. No se ha confirmado si será necesaria una reparación adicional.</w:t>
      </w:r>
    </w:p>
    <w:p>
      <w:pPr>
        <w:pStyle w:val="ListBullet"/>
        <w:spacing w:after="60"/>
      </w:pPr>
      <w:r>
        <w:t>La primera expedición está prevista para el 03/11/2026 y el montaje para el 06/11/2026. Siguen pendientes la disponibilidad final de los conjuntos del primer envío y la confirmación con el cliente de la zona de descarga y los accesos.</w:t>
      </w:r>
    </w:p>
    <w:p>
      <w:pPr>
        <w:pStyle w:val="Nota"/>
      </w:pPr>
      <w:r>
        <w:t>Lectura ejecutiva: la información disponible no confirma todavía si la desviación puede recuperarse sin afectar al calendario de expedición.</w:t>
      </w:r>
    </w:p>
    <w:p>
      <w:pPr>
        <w:pStyle w:val="Heading1"/>
      </w:pPr>
      <w:r>
        <w:t>1. Estado general del proyecto</w:t>
      </w:r>
    </w:p>
    <w:p>
      <w:r>
        <w:rPr>
          <w:b/>
        </w:rPr>
        <w:t xml:space="preserve">Situación: </w:t>
      </w:r>
      <w:r>
        <w:t>proyecto en ejecución, con una desviación de 7 puntos porcentuales respecto al avance previsto a fecha de cierre del informe.</w:t>
      </w:r>
    </w:p>
    <w:p>
      <w:r>
        <w:rPr>
          <w:b/>
        </w:rPr>
        <w:t xml:space="preserve">Foco de gestión: </w:t>
      </w:r>
      <w:r>
        <w:t>cerrar los puntos técnicos y de calidad abiertos, asegurar el suministro pendiente y validar un escenario de recuperación de fabricación antes de confirmar el calendario de expedición y montaje.</w:t>
      </w:r>
    </w:p>
    <w:p>
      <w:pPr>
        <w:pStyle w:val="Heading1"/>
      </w:pPr>
      <w:r>
        <w:t>2. Avances por ámbito</w:t>
      </w:r>
    </w:p>
    <w:p>
      <w:pPr>
        <w:pStyle w:val="Heading2"/>
      </w:pPr>
      <w:r>
        <w:t>2.1 Oficina técnica</w:t>
      </w:r>
    </w:p>
    <w:p>
      <w:pPr>
        <w:pStyle w:val="ListBullet"/>
        <w:spacing w:after="60"/>
      </w:pPr>
      <w:r>
        <w:t>El modelado principal está completado y la documentación de fabricación ha sido emitida en su mayor parte.</w:t>
      </w:r>
    </w:p>
    <w:p>
      <w:pPr>
        <w:pStyle w:val="ListBullet"/>
        <w:spacing w:after="60"/>
      </w:pPr>
      <w:r>
        <w:t>La ingeniería de detalle está prácticamente finalizada.</w:t>
      </w:r>
    </w:p>
    <w:p>
      <w:pPr>
        <w:pStyle w:val="ListBullet"/>
        <w:spacing w:after="60"/>
      </w:pPr>
      <w:r>
        <w:t>El detalle de unión D-17 continúa pendiente de validación final por una interferencia detectada con una instalación auxiliar. No bloquea actualmente toda la producción, pero puede afectar a una secuencia concreta si no se resuelve durante la próxima semana.</w:t>
      </w:r>
    </w:p>
    <w:p>
      <w:pPr>
        <w:pStyle w:val="ListBullet"/>
        <w:spacing w:after="60"/>
      </w:pPr>
      <w:r>
        <w:t>Se ha solicitado revisar dos planos de montaje porque la última revisión del cliente modifica la posición de un elemento secundario. El impacto en horas de oficina técnica no está cuantificado.</w:t>
      </w:r>
    </w:p>
    <w:p>
      <w:pPr>
        <w:pStyle w:val="Heading2"/>
      </w:pPr>
      <w:r>
        <w:t>2.2 Compras y suministro</w:t>
      </w:r>
    </w:p>
    <w:p>
      <w:pPr>
        <w:pStyle w:val="ListBullet"/>
        <w:spacing w:after="60"/>
      </w:pPr>
      <w:r>
        <w:t>Los perfiles y la chapa principal S355 han sido recibidos y están disponibles.</w:t>
      </w:r>
    </w:p>
    <w:p>
      <w:pPr>
        <w:pStyle w:val="ListBullet"/>
        <w:spacing w:after="60"/>
      </w:pPr>
      <w:r>
        <w:t>Se ha recibido aproximadamente el 78 % de la tornillería de alta resistencia. El proveedor ha indicado el 29/10/2026 como fecha prevista para el segundo lote.</w:t>
      </w:r>
    </w:p>
    <w:p>
      <w:pPr>
        <w:pStyle w:val="ListBullet"/>
        <w:spacing w:after="60"/>
      </w:pPr>
      <w:r>
        <w:t>Los consumibles de soldadura y el material auxiliar no presentan incidencias relevantes comunicadas.</w:t>
      </w:r>
    </w:p>
    <w:p>
      <w:pPr>
        <w:pStyle w:val="ListBullet"/>
        <w:spacing w:after="60"/>
      </w:pPr>
      <w:r>
        <w:t>La falta parcial de tornillería no ha detenido la fabricación, aunque puede condicionar la preparación de algunos conjuntos para expedición si el segundo lote se retrasa.</w:t>
      </w:r>
    </w:p>
    <w:p>
      <w:pPr>
        <w:pStyle w:val="Heading2"/>
      </w:pPr>
      <w:r>
        <w:t>2.3 Fabricación</w:t>
      </w:r>
    </w:p>
    <w:p>
      <w:pPr>
        <w:pStyle w:val="ListBullet"/>
        <w:spacing w:after="60"/>
      </w:pPr>
      <w:r>
        <w:t>El avance estimado es del 54 %, frente al 61 % previsto, y constituye el principal desfase respecto a la planificación.</w:t>
      </w:r>
    </w:p>
    <w:p>
      <w:pPr>
        <w:pStyle w:val="ListBullet"/>
        <w:spacing w:after="60"/>
      </w:pPr>
      <w:r>
        <w:t>Durante la segunda quincena se han priorizado los conjuntos correspondientes a la primera expedición.</w:t>
      </w:r>
    </w:p>
    <w:p>
      <w:pPr>
        <w:pStyle w:val="ListBullet"/>
        <w:spacing w:after="60"/>
      </w:pPr>
      <w:r>
        <w:t>Se han registrado dos paradas cortas asociadas a reajustes de planificación y disponibilidad de material, sin paralización general de la línea.</w:t>
      </w:r>
    </w:p>
    <w:p>
      <w:pPr>
        <w:pStyle w:val="ListBullet"/>
        <w:spacing w:after="60"/>
      </w:pPr>
      <w:r>
        <w:t>El equipo de producción considera recuperable parte de la desviación mediante la reorganización de secuencias, pero no se ha validado un nuevo escenario de fechas.</w:t>
      </w:r>
    </w:p>
    <w:p>
      <w:pPr>
        <w:pStyle w:val="Heading2"/>
      </w:pPr>
      <w:r>
        <w:t>2.4 Calidad</w:t>
      </w:r>
    </w:p>
    <w:p>
      <w:pPr>
        <w:pStyle w:val="ListBullet"/>
        <w:spacing w:after="60"/>
      </w:pPr>
      <w:r>
        <w:t>Los controles dimensionales realizados no han mostrado desviaciones generalizadas.</w:t>
      </w:r>
    </w:p>
    <w:p>
      <w:pPr>
        <w:pStyle w:val="ListBullet"/>
        <w:spacing w:after="60"/>
      </w:pPr>
      <w:r>
        <w:t>Dos uniones soldadas están pendientes de reinspección mediante ultrasonidos tras una indicación detectada en el primer control. La reinspección estaba prevista para el 27/10/2026.</w:t>
      </w:r>
    </w:p>
    <w:p>
      <w:pPr>
        <w:pStyle w:val="ListBullet"/>
        <w:spacing w:after="60"/>
      </w:pPr>
      <w:r>
        <w:t>No se ha determinado si será necesaria alguna reparación adicional.</w:t>
      </w:r>
    </w:p>
    <w:p>
      <w:pPr>
        <w:pStyle w:val="ListBullet"/>
        <w:spacing w:after="60"/>
      </w:pPr>
      <w:r>
        <w:t>La documentación de calidad de los conjuntos ya liberados se está preparando para acompañar las expediciones.</w:t>
      </w:r>
    </w:p>
    <w:p>
      <w:pPr>
        <w:pStyle w:val="Heading2"/>
      </w:pPr>
      <w:r>
        <w:t>2.5 Expedición y montaje</w:t>
      </w:r>
    </w:p>
    <w:p>
      <w:pPr>
        <w:pStyle w:val="ListBullet"/>
        <w:spacing w:after="60"/>
      </w:pPr>
      <w:r>
        <w:t>La primera expedición está prevista para el 03/11/2026. La preparación logística se ha iniciado, pero debe confirmarse la disponibilidad final de todos los conjuntos previstos para el primer envío.</w:t>
      </w:r>
    </w:p>
    <w:p>
      <w:pPr>
        <w:pStyle w:val="ListBullet"/>
        <w:spacing w:after="60"/>
      </w:pPr>
      <w:r>
        <w:t>El inicio del montaje en obra figura para el 06/11/2026.</w:t>
      </w:r>
    </w:p>
    <w:p>
      <w:pPr>
        <w:pStyle w:val="ListBullet"/>
        <w:spacing w:after="60"/>
      </w:pPr>
      <w:r>
        <w:t>Está pendiente confirmar con el cliente la disponibilidad definitiva de la zona de descarga y el acceso de los medios auxiliares.</w:t>
      </w:r>
    </w:p>
    <w:p>
      <w:pPr>
        <w:pStyle w:val="Heading1"/>
      </w:pPr>
      <w:r>
        <w:t>3. Incidencias y riesgos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2493"/>
            <w:shd w:fill="17365D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2493"/>
            <w:shd w:fill="17365D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Situación</w:t>
            </w:r>
          </w:p>
        </w:tc>
        <w:tc>
          <w:tcPr>
            <w:tcW w:type="dxa" w:w="2493"/>
            <w:shd w:fill="17365D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Impacto posible</w:t>
            </w:r>
          </w:p>
        </w:tc>
        <w:tc>
          <w:tcPr>
            <w:tcW w:type="dxa" w:w="2493"/>
            <w:shd w:fill="17365D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Detalle D-17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Validación pendiente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Afectación a una secuencia de fabricación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Abierto</w:t>
            </w:r>
          </w:p>
        </w:tc>
      </w:tr>
      <w:tr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Tornillería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22 % pendiente de recepción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Preparación de conjuntos y expedición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Seguimiento</w:t>
            </w:r>
          </w:p>
        </w:tc>
      </w:tr>
      <w:tr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Fabricación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54 % real frente a 61 % previsto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Compresión del calendario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Abierto</w:t>
            </w:r>
          </w:p>
        </w:tc>
      </w:tr>
      <w:tr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Calidad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2 soldaduras pendientes de reinspección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Liberación de conjuntos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Abierto</w:t>
            </w:r>
          </w:p>
        </w:tc>
      </w:tr>
      <w:tr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Montaje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Acceso y descarga por confirmar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Inicio de trabajos en obra</w:t>
            </w:r>
          </w:p>
        </w:tc>
        <w:tc>
          <w:tcPr>
            <w:tcW w:type="dxa" w:w="249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Pendiente</w:t>
            </w:r>
          </w:p>
        </w:tc>
      </w:tr>
    </w:tbl>
    <w:p>
      <w:pPr>
        <w:pStyle w:val="Nota"/>
      </w:pPr>
      <w:r>
        <w:t>Limitación: el informe identifica impactos posibles, pero no cuantifica su efecto temporal o económico.</w:t>
      </w:r>
    </w:p>
    <w:p>
      <w:pPr>
        <w:pStyle w:val="Heading1"/>
      </w:pPr>
      <w:r>
        <w:t>4. Decisiones pendientes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3324"/>
            <w:shd w:fill="2F559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Decisión</w:t>
            </w:r>
          </w:p>
        </w:tc>
        <w:tc>
          <w:tcPr>
            <w:tcW w:type="dxa" w:w="3324"/>
            <w:shd w:fill="2F559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Actuación requerida</w:t>
            </w:r>
          </w:p>
        </w:tc>
        <w:tc>
          <w:tcPr>
            <w:tcW w:type="dxa" w:w="3324"/>
            <w:shd w:fill="2F559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/>
                <w:b/>
                <w:color w:val="FFFFFF"/>
                <w:sz w:val="18"/>
              </w:rPr>
              <w:t>Información pendiente</w:t>
            </w:r>
          </w:p>
        </w:tc>
      </w:tr>
      <w:tr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Validación técnica de D-17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Cerrar la solución y emitir la revisión correspondiente.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No se identifica el responsable definitivo ni una fecha de cierre concreta.</w:t>
            </w:r>
          </w:p>
        </w:tc>
      </w:tr>
      <w:tr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Recuperación de fabricación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Validar un escenario de recuperación y su impacto sobre las expediciones.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No existe todavía un nuevo escenario de fechas validado.</w:t>
            </w:r>
          </w:p>
        </w:tc>
      </w:tr>
      <w:tr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Logística de montaje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Confirmar con el cliente la zona de descarga y el acceso de medios auxiliares.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No consta el responsable definitivo de coordinación.</w:t>
            </w:r>
          </w:p>
        </w:tc>
      </w:tr>
      <w:tr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Revisión de planos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Determinar el impacto de las dos revisiones solicitadas por el cliente.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2F6FA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No se ha cuantificado el impacto en horas ni el impacto económico.</w:t>
            </w:r>
          </w:p>
        </w:tc>
      </w:tr>
      <w:tr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Reinspección de soldaduras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Determinar la necesidad de reparación tras la reinspección.</w:t>
            </w:r>
          </w:p>
        </w:tc>
        <w:tc>
          <w:tcPr>
            <w:tcW w:type="dxa" w:w="33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40"/>
            </w:pPr>
            <w:r>
              <w:rPr>
                <w:rFonts w:ascii="Aptos" w:hAnsi="Aptos"/>
                <w:sz w:val="18"/>
              </w:rPr>
              <w:t>La necesidad de reparación sigue sin confirmar.</w:t>
            </w:r>
          </w:p>
        </w:tc>
      </w:tr>
    </w:tbl>
    <w:p>
      <w:pPr>
        <w:pStyle w:val="Heading1"/>
      </w:pPr>
      <w:r>
        <w:t>5. Próximos pasos</w:t>
      </w:r>
    </w:p>
    <w:p>
      <w:pPr>
        <w:pStyle w:val="ListNumber"/>
        <w:spacing w:after="60"/>
      </w:pPr>
      <w:r>
        <w:t>Cerrar la validación del detalle D-17 y emitir la revisión correspondiente.</w:t>
      </w:r>
    </w:p>
    <w:p>
      <w:pPr>
        <w:pStyle w:val="ListNumber"/>
        <w:spacing w:after="60"/>
      </w:pPr>
      <w:r>
        <w:t>Confirmar la fecha real de entrega del segundo lote de tornillería.</w:t>
      </w:r>
    </w:p>
    <w:p>
      <w:pPr>
        <w:pStyle w:val="ListNumber"/>
        <w:spacing w:after="60"/>
      </w:pPr>
      <w:r>
        <w:t>Validar un escenario de recuperación de fabricación y revisar su impacto sobre las expediciones.</w:t>
      </w:r>
    </w:p>
    <w:p>
      <w:pPr>
        <w:pStyle w:val="ListNumber"/>
        <w:spacing w:after="60"/>
      </w:pPr>
      <w:r>
        <w:t>Completar la reinspección de las dos uniones soldadas pendientes.</w:t>
      </w:r>
    </w:p>
    <w:p>
      <w:pPr>
        <w:pStyle w:val="ListNumber"/>
        <w:spacing w:after="60"/>
      </w:pPr>
      <w:r>
        <w:t>Confirmar con el cliente la logística de descarga y el acceso para montaje.</w:t>
      </w:r>
    </w:p>
    <w:p>
      <w:pPr>
        <w:pStyle w:val="Heading1"/>
      </w:pPr>
      <w:r>
        <w:t>6. Información ambigua, contradictoria o insuficiente</w:t>
      </w:r>
    </w:p>
    <w:p>
      <w:pPr>
        <w:pStyle w:val="ListBullet"/>
        <w:spacing w:after="60"/>
      </w:pPr>
      <w:r>
        <w:t>No se identifica al responsable definitivo de coordinar la validación del acceso a obra.</w:t>
      </w:r>
    </w:p>
    <w:p>
      <w:pPr>
        <w:pStyle w:val="ListBullet"/>
        <w:spacing w:after="60"/>
      </w:pPr>
      <w:r>
        <w:t>No se cuantifica el impacto en horas de oficina técnica ni el impacto económico de las modificaciones de planos solicitadas por el cliente.</w:t>
      </w:r>
    </w:p>
    <w:p>
      <w:pPr>
        <w:pStyle w:val="ListBullet"/>
        <w:spacing w:after="60"/>
      </w:pPr>
      <w:r>
        <w:t>No se confirma la capacidad real de recuperar la desviación de fabricación sin modificar el calendario de expedición.</w:t>
      </w:r>
    </w:p>
    <w:p>
      <w:pPr>
        <w:pStyle w:val="ListBullet"/>
        <w:spacing w:after="60"/>
      </w:pPr>
      <w:r>
        <w:t>No se confirma si las dos soldaduras pendientes de reinspección requerirán reparación.</w:t>
      </w:r>
    </w:p>
    <w:p>
      <w:pPr>
        <w:pStyle w:val="ListBullet"/>
        <w:spacing w:after="60"/>
      </w:pPr>
      <w:r>
        <w:t>No se aporta una cuantificación del impacto temporal o económico de los riesgos abiertos.</w:t>
      </w:r>
    </w:p>
    <w:p>
      <w:pPr>
        <w:pStyle w:val="ListBullet"/>
        <w:spacing w:after="60"/>
      </w:pPr>
      <w:r>
        <w:t>La expresión «durante la próxima semana» utilizada para D-17 no concreta una fecha de compromiso.</w:t>
      </w:r>
    </w:p>
    <w:p>
      <w:pPr>
        <w:pStyle w:val="ListBullet"/>
        <w:spacing w:after="60"/>
      </w:pPr>
      <w:r>
        <w:t>El informe utiliza los estados «Abierto», «Seguimiento» y «Pendiente» sin definir criterios diferenciadores.</w:t>
      </w:r>
    </w:p>
    <w:p>
      <w:pPr>
        <w:pStyle w:val="Nota"/>
      </w:pPr>
      <w:r>
        <w:t>Nota de fuente: este documento reorganiza y mejora exclusivamente la información contenida en el informe original. No se han añadido causas, fechas, responsables ni conclusiones no respaldadas por dicho contenido. El caso es ficticio y está preparado para formación.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 xml:space="preserve">Caso práctico ficticio · Material preparado para formación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646464"/>
        <w:sz w:val="16"/>
      </w:rPr>
      <w:t>PROYECTO BAYO  |  INFORME DE SEGUIMIENTO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a">
    <w:name w:val="Nota"/>
    <w:pPr>
      <w:spacing w:after="100"/>
    </w:pPr>
    <w:rPr>
      <w:rFonts w:ascii="Aptos" w:hAnsi="Aptos"/>
      <w:i/>
      <w:color w:val="5A5A5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A141667DB55541AE9BD05D8EEED319" ma:contentTypeVersion="10" ma:contentTypeDescription="Crear nuevo documento." ma:contentTypeScope="" ma:versionID="ebc80c0f73b964f45b3e9030a665a258">
  <xsd:schema xmlns:xsd="http://www.w3.org/2001/XMLSchema" xmlns:xs="http://www.w3.org/2001/XMLSchema" xmlns:p="http://schemas.microsoft.com/office/2006/metadata/properties" xmlns:ns2="d297e347-4daf-4140-bca2-62069c8f36f6" xmlns:ns3="477e2751-c0d9-469c-9ec2-39f305ecc0bb" targetNamespace="http://schemas.microsoft.com/office/2006/metadata/properties" ma:root="true" ma:fieldsID="6cbb88e483d9fc4a2a7b0ee233e11981" ns2:_="" ns3:_="">
    <xsd:import namespace="d297e347-4daf-4140-bca2-62069c8f36f6"/>
    <xsd:import namespace="477e2751-c0d9-469c-9ec2-39f305ecc0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7e347-4daf-4140-bca2-62069c8f3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5eee2df-ca6c-4b8a-871b-03e703745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2751-c0d9-469c-9ec2-39f305ecc0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cd9080-abdc-4bfb-a7aa-bae0b3c3ed72}" ma:internalName="TaxCatchAll" ma:showField="CatchAllData" ma:web="477e2751-c0d9-469c-9ec2-39f305ecc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97e347-4daf-4140-bca2-62069c8f36f6">
      <Terms xmlns="http://schemas.microsoft.com/office/infopath/2007/PartnerControls"/>
    </lcf76f155ced4ddcb4097134ff3c332f>
    <TaxCatchAll xmlns="477e2751-c0d9-469c-9ec2-39f305ecc0bb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C7D0E0-AEFF-46CB-A9CF-129A1B70E3E7}"/>
</file>

<file path=customXml/itemProps3.xml><?xml version="1.0" encoding="utf-8"?>
<ds:datastoreItem xmlns:ds="http://schemas.openxmlformats.org/officeDocument/2006/customXml" ds:itemID="{3E853DDE-D47B-4AB2-99DA-988544E36FD0}"/>
</file>

<file path=customXml/itemProps4.xml><?xml version="1.0" encoding="utf-8"?>
<ds:datastoreItem xmlns:ds="http://schemas.openxmlformats.org/officeDocument/2006/customXml" ds:itemID="{79C1F152-6307-49BE-8284-E4ECE6D493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seguimiento - Proyecto BAYO</dc:title>
  <dc:subject>Estado del proyecto, riesgos, decisiones pendientes y próximos pasos</dc:subject>
  <dc:creator>Orlando Suárez Cámara</dc:creator>
  <cp:keywords>BAYO, seguimiento, proyecto industrial, riesgos, decisiones</cp:keywords>
  <dc:description>generated by python-docx</dc:description>
  <cp:lastModifiedBy>Orlando Suárez Cámara</cp:lastModifiedBy>
  <cp:revision>1</cp:revision>
  <dcterms:created xsi:type="dcterms:W3CDTF">2026-09-30T23:55:03Z</dcterms:created>
  <dcterms:modified xsi:type="dcterms:W3CDTF">2026-09-30T23:55:03Z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0x010100D5A141667DB55541AE9BD05D8EEED319</vt:lpwstr>
  </property>
</Properties>
</file>