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Informe de seguimiento · Proyecto BAYO</w:t>
      </w:r>
    </w:p>
    <w:p>
      <w:r>
        <w:rPr>
          <w:b/>
          <w:color w:val="5A5A5A"/>
          <w:sz w:val="18"/>
        </w:rPr>
        <w:t>CASO PRÁCTICO FICTICIO · Material preparado para formación</w:t>
      </w:r>
    </w:p>
    <w:tbl>
      <w:tblPr>
        <w:tblStyle w:val="TableGrid"/>
        <w:tblW w:type="auto" w:w="0"/>
        <w:jc w:val="left"/>
        <w:tblLook w:firstColumn="1" w:firstRow="1" w:lastColumn="0" w:lastRow="0" w:noHBand="0" w:noVBand="1" w:val="04A0"/>
      </w:tblPr>
      <w:tblGrid>
        <w:gridCol w:w="4986"/>
        <w:gridCol w:w="4986"/>
      </w:tblGrid>
      <w:tr>
        <w:tc>
          <w:tcPr>
            <w:tcW w:type="dxa" w:w="4986"/>
            <w:shd w:fill="E8EEF6"/>
            <w:vAlign w:val="center"/>
          </w:tcPr>
          <w:p>
            <w:r>
              <w:rPr>
                <w:b/>
              </w:rPr>
              <w:t>Proyecto</w:t>
            </w:r>
          </w:p>
        </w:tc>
        <w:tc>
          <w:tcPr>
            <w:tcW w:type="dxa" w:w="4986"/>
            <w:vAlign w:val="center"/>
          </w:tcPr>
          <w:p>
            <w:r>
              <w:t>Ampliación de nave industrial · Estructura metálica</w:t>
            </w:r>
          </w:p>
        </w:tc>
      </w:tr>
      <w:tr>
        <w:tc>
          <w:tcPr>
            <w:tcW w:type="dxa" w:w="4986"/>
            <w:shd w:fill="E8EEF6"/>
            <w:vAlign w:val="center"/>
          </w:tcPr>
          <w:p>
            <w:r>
              <w:rPr>
                <w:b/>
              </w:rPr>
              <w:t>Fecha del informe</w:t>
            </w:r>
          </w:p>
        </w:tc>
        <w:tc>
          <w:tcPr>
            <w:tcW w:type="dxa" w:w="4986"/>
            <w:vAlign w:val="center"/>
          </w:tcPr>
          <w:p>
            <w:r>
              <w:t>25/10/2026</w:t>
            </w:r>
          </w:p>
        </w:tc>
      </w:tr>
      <w:tr>
        <w:tc>
          <w:tcPr>
            <w:tcW w:type="dxa" w:w="4986"/>
            <w:shd w:fill="E8EEF6"/>
            <w:vAlign w:val="center"/>
          </w:tcPr>
          <w:p>
            <w:r>
              <w:rPr>
                <w:b/>
              </w:rPr>
              <w:t>Periodo analizado</w:t>
            </w:r>
          </w:p>
        </w:tc>
        <w:tc>
          <w:tcPr>
            <w:tcW w:type="dxa" w:w="4986"/>
            <w:vAlign w:val="center"/>
          </w:tcPr>
          <w:p>
            <w:r>
              <w:t>02/09/2026 – 25/10/2026</w:t>
            </w:r>
          </w:p>
        </w:tc>
      </w:tr>
      <w:tr>
        <w:tc>
          <w:tcPr>
            <w:tcW w:type="dxa" w:w="4986"/>
            <w:shd w:fill="E8EEF6"/>
            <w:vAlign w:val="center"/>
          </w:tcPr>
          <w:p>
            <w:r>
              <w:rPr>
                <w:b/>
              </w:rPr>
              <w:t>Fin previsto</w:t>
            </w:r>
          </w:p>
        </w:tc>
        <w:tc>
          <w:tcPr>
            <w:tcW w:type="dxa" w:w="4986"/>
            <w:vAlign w:val="center"/>
          </w:tcPr>
          <w:p>
            <w:r>
              <w:t>30/11/2026</w:t>
            </w:r>
          </w:p>
        </w:tc>
      </w:tr>
      <w:tr>
        <w:tc>
          <w:tcPr>
            <w:tcW w:type="dxa" w:w="4986"/>
            <w:shd w:fill="E8EEF6"/>
            <w:vAlign w:val="center"/>
          </w:tcPr>
          <w:p>
            <w:r>
              <w:rPr>
                <w:b/>
              </w:rPr>
              <w:t>Estado general</w:t>
            </w:r>
          </w:p>
        </w:tc>
        <w:tc>
          <w:tcPr>
            <w:tcW w:type="dxa" w:w="4986"/>
            <w:vAlign w:val="center"/>
          </w:tcPr>
          <w:p>
            <w:r>
              <w:t>En ejecución</w:t>
            </w:r>
          </w:p>
        </w:tc>
      </w:tr>
    </w:tbl>
    <w:p/>
    <w:p>
      <w:pPr>
        <w:pStyle w:val="Heading1"/>
      </w:pPr>
      <w:r>
        <w:t>1. Situación general</w:t>
      </w:r>
    </w:p>
    <w:p>
      <w:r>
        <w:t>El proyecto mantiene un avance global estimado del 51 %, frente al 58 % previsto a fecha de cierre del informe. La desviación se concentra principalmente en fabricación, disponibilidad parcial de tornillería de alta resistencia y algunas verificaciones de calidad todavía abiertas. La ingeniería de detalle está prácticamente finalizada, aunque permanece pendiente el cierre del detalle de unión D-17.</w:t>
      </w:r>
    </w:p>
    <w:p>
      <w:pPr>
        <w:pStyle w:val="Heading1"/>
      </w:pPr>
      <w:r>
        <w:t>2. Oficina técnica</w:t>
      </w:r>
    </w:p>
    <w:p>
      <w:r>
        <w:t>El modelado principal está completado y la documentación de fabricación ha sido emitida en su mayor parte. El detalle D-17 continúa pendiente de validación final por una interferencia detectada con una instalación auxiliar. Se considera que este punto no bloquea actualmente toda la producción, aunque puede afectar a una secuencia concreta de fabricación si no queda resuelto durante la próxima semana.</w:t>
      </w:r>
    </w:p>
    <w:p>
      <w:r>
        <w:t>También se ha solicitado revisar dos planos de montaje porque la última revisión del cliente incorpora una modificación en la posición de un elemento secundario. No se ha cuantificado todavía el impacto en horas de oficina técnica.</w:t>
      </w:r>
    </w:p>
    <w:p>
      <w:pPr>
        <w:pStyle w:val="Heading1"/>
      </w:pPr>
      <w:r>
        <w:t>3. Compras y suministro</w:t>
      </w:r>
    </w:p>
    <w:p>
      <w:pPr>
        <w:pStyle w:val="ListBullet"/>
      </w:pPr>
      <w:r>
        <w:t>Perfiles y chapa principal S355: suministro recibido y disponible.</w:t>
      </w:r>
    </w:p>
    <w:p>
      <w:pPr>
        <w:pStyle w:val="ListBullet"/>
      </w:pPr>
      <w:r>
        <w:t>Tornillería de alta resistencia: recibido aproximadamente el 78 % del pedido.</w:t>
      </w:r>
    </w:p>
    <w:p>
      <w:pPr>
        <w:pStyle w:val="ListBullet"/>
      </w:pPr>
      <w:r>
        <w:t>El proveedor ha indicado como fecha prevista para el segundo lote el 29/10/2026.</w:t>
      </w:r>
    </w:p>
    <w:p>
      <w:pPr>
        <w:pStyle w:val="ListBullet"/>
      </w:pPr>
      <w:r>
        <w:t>Consumibles de soldadura y material auxiliar: sin incidencias relevantes comunicadas.</w:t>
      </w:r>
    </w:p>
    <w:p>
      <w:r>
        <w:t>La falta parcial de tornillería no ha detenido la fabricación, pero puede condicionar la preparación de algunos conjuntos para expedición si el segundo lote se retrasa.</w:t>
      </w:r>
    </w:p>
    <w:p>
      <w:pPr>
        <w:pStyle w:val="Heading1"/>
      </w:pPr>
      <w:r>
        <w:t>4. Fabricación</w:t>
      </w:r>
    </w:p>
    <w:p>
      <w:r>
        <w:t>Fabricación presenta el principal desfase respecto a la planificación. El avance estimado es del 54 %, frente al 61 % previsto. Durante la segunda quincena se han priorizado los conjuntos correspondientes a la primera expedición. Se han registrado dos paradas cortas asociadas a reajustes de planificación y disponibilidad de material, sin que conste una paralización general de la línea.</w:t>
      </w:r>
    </w:p>
    <w:p>
      <w:r>
        <w:t>El equipo de producción considera recuperable parte de la desviación mediante la reorganización de secuencias, pero todavía no se ha validado un nuevo escenario de fechas.</w:t>
      </w:r>
    </w:p>
    <w:p>
      <w:pPr>
        <w:pStyle w:val="Heading1"/>
      </w:pPr>
      <w:r>
        <w:t>5. Calidad</w:t>
      </w:r>
    </w:p>
    <w:p>
      <w:r>
        <w:t>Los controles dimensionales realizados no han mostrado desviaciones generalizadas. Dos uniones soldadas quedaron pendientes de reinspección mediante ultrasonidos después de una indicación detectada en el primer control. La reinspección estaba prevista para el 27/10/2026.</w:t>
      </w:r>
    </w:p>
    <w:p>
      <w:r>
        <w:t>No se ha determinado todavía si será necesario realizar alguna reparación adicional. La documentación de calidad correspondiente a los conjuntos ya liberados se está preparando para acompañar las expediciones.</w:t>
      </w:r>
    </w:p>
    <w:p>
      <w:pPr>
        <w:pStyle w:val="Heading1"/>
      </w:pPr>
      <w:r>
        <w:t>6. Expedición y montaje</w:t>
      </w:r>
    </w:p>
    <w:p>
      <w:r>
        <w:t>La primera expedición está prevista para el 03/11/2026. A fecha del informe, la preparación logística se encuentra iniciada, pero todavía debe confirmarse la disponibilidad final de todos los conjuntos previstos para el primer envío.</w:t>
      </w:r>
    </w:p>
    <w:p>
      <w:r>
        <w:t>El inicio de montaje en obra figura actualmente para el 06/11/2026. Está pendiente confirmar con el cliente la disponibilidad definitiva de zona de descarga y el acceso de los medios auxiliares.</w:t>
      </w:r>
    </w:p>
    <w:p>
      <w:pPr>
        <w:pStyle w:val="Heading1"/>
      </w:pPr>
      <w:r>
        <w:t>7. Principales incidencias y riesgos</w:t>
      </w:r>
    </w:p>
    <w:tbl>
      <w:tblPr>
        <w:tblStyle w:val="TableGrid"/>
        <w:tblW w:type="auto" w:w="0"/>
        <w:jc w:val="center"/>
        <w:tblLook w:firstColumn="1" w:firstRow="1" w:lastColumn="0" w:lastRow="0" w:noHBand="0" w:noVBand="1" w:val="04A0"/>
      </w:tblPr>
      <w:tblGrid>
        <w:gridCol w:w="2493"/>
        <w:gridCol w:w="2493"/>
        <w:gridCol w:w="2493"/>
        <w:gridCol w:w="2493"/>
      </w:tblGrid>
      <w:tr>
        <w:trPr>
          <w:cantSplit/>
          <w:tblHeader w:val="true"/>
        </w:trPr>
        <w:tc>
          <w:tcPr>
            <w:tcW w:type="dxa" w:w="2493"/>
            <w:shd w:fill="17365D"/>
          </w:tcPr>
          <w:p>
            <w:r>
              <w:rPr>
                <w:b/>
                <w:color w:val="FFFFFF"/>
                <w:sz w:val="18"/>
              </w:rPr>
              <w:t>Elemento</w:t>
            </w:r>
          </w:p>
        </w:tc>
        <w:tc>
          <w:tcPr>
            <w:tcW w:type="dxa" w:w="2493"/>
            <w:shd w:fill="17365D"/>
          </w:tcPr>
          <w:p>
            <w:r>
              <w:rPr>
                <w:b/>
                <w:color w:val="FFFFFF"/>
                <w:sz w:val="18"/>
              </w:rPr>
              <w:t>Situación</w:t>
            </w:r>
          </w:p>
        </w:tc>
        <w:tc>
          <w:tcPr>
            <w:tcW w:type="dxa" w:w="2493"/>
            <w:shd w:fill="17365D"/>
          </w:tcPr>
          <w:p>
            <w:r>
              <w:rPr>
                <w:b/>
                <w:color w:val="FFFFFF"/>
                <w:sz w:val="18"/>
              </w:rPr>
              <w:t>Impacto posible</w:t>
            </w:r>
          </w:p>
        </w:tc>
        <w:tc>
          <w:tcPr>
            <w:tcW w:type="dxa" w:w="2493"/>
            <w:shd w:fill="17365D"/>
          </w:tcPr>
          <w:p>
            <w:r>
              <w:rPr>
                <w:b/>
                <w:color w:val="FFFFFF"/>
                <w:sz w:val="18"/>
              </w:rPr>
              <w:t>Estado</w:t>
            </w:r>
          </w:p>
        </w:tc>
      </w:tr>
      <w:tr>
        <w:trPr>
          <w:cantSplit/>
        </w:trPr>
        <w:tc>
          <w:tcPr>
            <w:tcW w:type="dxa" w:w="2493"/>
          </w:tcPr>
          <w:p>
            <w:r>
              <w:rPr>
                <w:sz w:val="18"/>
              </w:rPr>
              <w:t>Detalle D-17</w:t>
            </w:r>
          </w:p>
        </w:tc>
        <w:tc>
          <w:tcPr>
            <w:tcW w:type="dxa" w:w="2493"/>
          </w:tcPr>
          <w:p>
            <w:r>
              <w:rPr>
                <w:sz w:val="18"/>
              </w:rPr>
              <w:t>Validación pendiente</w:t>
            </w:r>
          </w:p>
        </w:tc>
        <w:tc>
          <w:tcPr>
            <w:tcW w:type="dxa" w:w="2493"/>
          </w:tcPr>
          <w:p>
            <w:r>
              <w:rPr>
                <w:sz w:val="18"/>
              </w:rPr>
              <w:t>Afectación a una secuencia de fabricación</w:t>
            </w:r>
          </w:p>
        </w:tc>
        <w:tc>
          <w:tcPr>
            <w:tcW w:type="dxa" w:w="2493"/>
          </w:tcPr>
          <w:p>
            <w:r>
              <w:rPr>
                <w:sz w:val="18"/>
              </w:rPr>
              <w:t>Abierto</w:t>
            </w:r>
          </w:p>
        </w:tc>
      </w:tr>
      <w:tr>
        <w:trPr>
          <w:cantSplit/>
        </w:trPr>
        <w:tc>
          <w:tcPr>
            <w:tcW w:type="dxa" w:w="2493"/>
          </w:tcPr>
          <w:p>
            <w:r>
              <w:rPr>
                <w:sz w:val="18"/>
              </w:rPr>
              <w:t>Tornillería</w:t>
            </w:r>
          </w:p>
        </w:tc>
        <w:tc>
          <w:tcPr>
            <w:tcW w:type="dxa" w:w="2493"/>
          </w:tcPr>
          <w:p>
            <w:r>
              <w:rPr>
                <w:sz w:val="18"/>
              </w:rPr>
              <w:t>22 % pendiente de recepción</w:t>
            </w:r>
          </w:p>
        </w:tc>
        <w:tc>
          <w:tcPr>
            <w:tcW w:type="dxa" w:w="2493"/>
          </w:tcPr>
          <w:p>
            <w:r>
              <w:rPr>
                <w:sz w:val="18"/>
              </w:rPr>
              <w:t>Preparación de conjuntos y expedición</w:t>
            </w:r>
          </w:p>
        </w:tc>
        <w:tc>
          <w:tcPr>
            <w:tcW w:type="dxa" w:w="2493"/>
          </w:tcPr>
          <w:p>
            <w:r>
              <w:rPr>
                <w:sz w:val="18"/>
              </w:rPr>
              <w:t>Seguimiento</w:t>
            </w:r>
          </w:p>
        </w:tc>
      </w:tr>
      <w:tr>
        <w:trPr>
          <w:cantSplit/>
        </w:trPr>
        <w:tc>
          <w:tcPr>
            <w:tcW w:type="dxa" w:w="2493"/>
          </w:tcPr>
          <w:p>
            <w:r>
              <w:rPr>
                <w:sz w:val="18"/>
              </w:rPr>
              <w:t>Fabricación</w:t>
            </w:r>
          </w:p>
        </w:tc>
        <w:tc>
          <w:tcPr>
            <w:tcW w:type="dxa" w:w="2493"/>
          </w:tcPr>
          <w:p>
            <w:r>
              <w:rPr>
                <w:sz w:val="18"/>
              </w:rPr>
              <w:t>54 % real vs 61 % previsto</w:t>
            </w:r>
          </w:p>
        </w:tc>
        <w:tc>
          <w:tcPr>
            <w:tcW w:type="dxa" w:w="2493"/>
          </w:tcPr>
          <w:p>
            <w:r>
              <w:rPr>
                <w:sz w:val="18"/>
              </w:rPr>
              <w:t>Riesgo de compresión del calendario</w:t>
            </w:r>
          </w:p>
        </w:tc>
        <w:tc>
          <w:tcPr>
            <w:tcW w:type="dxa" w:w="2493"/>
          </w:tcPr>
          <w:p>
            <w:r>
              <w:rPr>
                <w:sz w:val="18"/>
              </w:rPr>
              <w:t>Abierto</w:t>
            </w:r>
          </w:p>
        </w:tc>
      </w:tr>
      <w:tr>
        <w:trPr>
          <w:cantSplit/>
        </w:trPr>
        <w:tc>
          <w:tcPr>
            <w:tcW w:type="dxa" w:w="2493"/>
          </w:tcPr>
          <w:p>
            <w:r>
              <w:rPr>
                <w:sz w:val="18"/>
              </w:rPr>
              <w:t>Calidad</w:t>
            </w:r>
          </w:p>
        </w:tc>
        <w:tc>
          <w:tcPr>
            <w:tcW w:type="dxa" w:w="2493"/>
          </w:tcPr>
          <w:p>
            <w:r>
              <w:rPr>
                <w:sz w:val="18"/>
              </w:rPr>
              <w:t>2 soldaduras pendientes de reinspección</w:t>
            </w:r>
          </w:p>
        </w:tc>
        <w:tc>
          <w:tcPr>
            <w:tcW w:type="dxa" w:w="2493"/>
          </w:tcPr>
          <w:p>
            <w:r>
              <w:rPr>
                <w:sz w:val="18"/>
              </w:rPr>
              <w:t>Liberación de conjuntos</w:t>
            </w:r>
          </w:p>
        </w:tc>
        <w:tc>
          <w:tcPr>
            <w:tcW w:type="dxa" w:w="2493"/>
          </w:tcPr>
          <w:p>
            <w:r>
              <w:rPr>
                <w:sz w:val="18"/>
              </w:rPr>
              <w:t>Abierto</w:t>
            </w:r>
          </w:p>
        </w:tc>
      </w:tr>
      <w:tr>
        <w:trPr>
          <w:cantSplit/>
        </w:trPr>
        <w:tc>
          <w:tcPr>
            <w:tcW w:type="dxa" w:w="2493"/>
          </w:tcPr>
          <w:p>
            <w:r>
              <w:rPr>
                <w:sz w:val="18"/>
              </w:rPr>
              <w:t>Montaje</w:t>
            </w:r>
          </w:p>
        </w:tc>
        <w:tc>
          <w:tcPr>
            <w:tcW w:type="dxa" w:w="2493"/>
          </w:tcPr>
          <w:p>
            <w:r>
              <w:rPr>
                <w:sz w:val="18"/>
              </w:rPr>
              <w:t>Acceso y descarga por confirmar</w:t>
            </w:r>
          </w:p>
        </w:tc>
        <w:tc>
          <w:tcPr>
            <w:tcW w:type="dxa" w:w="2493"/>
          </w:tcPr>
          <w:p>
            <w:r>
              <w:rPr>
                <w:sz w:val="18"/>
              </w:rPr>
              <w:t>Inicio de trabajos en obra</w:t>
            </w:r>
          </w:p>
        </w:tc>
        <w:tc>
          <w:tcPr>
            <w:tcW w:type="dxa" w:w="2493"/>
          </w:tcPr>
          <w:p>
            <w:r>
              <w:rPr>
                <w:sz w:val="18"/>
              </w:rPr>
              <w:t>Pendiente</w:t>
            </w:r>
          </w:p>
        </w:tc>
      </w:tr>
    </w:tbl>
    <w:p/>
    <w:p>
      <w:pPr>
        <w:pStyle w:val="Heading1"/>
      </w:pPr>
      <w:r>
        <w:t>8. Decisiones y próximos pasos</w:t>
      </w:r>
    </w:p>
    <w:p>
      <w:pPr>
        <w:pStyle w:val="ListNumber"/>
      </w:pPr>
      <w:r>
        <w:t>Cerrar la validación del detalle D-17 y emitir la revisión correspondiente.</w:t>
      </w:r>
    </w:p>
    <w:p>
      <w:pPr>
        <w:pStyle w:val="ListNumber"/>
      </w:pPr>
      <w:r>
        <w:t>Confirmar la fecha real de entrega del segundo lote de tornillería.</w:t>
      </w:r>
    </w:p>
    <w:p>
      <w:pPr>
        <w:pStyle w:val="ListNumber"/>
      </w:pPr>
      <w:r>
        <w:t>Validar un escenario de recuperación de fabricación y revisar su impacto sobre expediciones.</w:t>
      </w:r>
    </w:p>
    <w:p>
      <w:pPr>
        <w:pStyle w:val="ListNumber"/>
      </w:pPr>
      <w:r>
        <w:t>Completar la reinspección de las dos uniones soldadas pendientes.</w:t>
      </w:r>
    </w:p>
    <w:p>
      <w:pPr>
        <w:pStyle w:val="ListNumber"/>
      </w:pPr>
      <w:r>
        <w:t>Confirmar con el cliente la logística de descarga y el acceso para montaje.</w:t>
      </w:r>
    </w:p>
    <w:p>
      <w:pPr>
        <w:pStyle w:val="Heading1"/>
      </w:pPr>
      <w:r>
        <w:t>9. Información todavía no confirmada</w:t>
      </w:r>
    </w:p>
    <w:p>
      <w:pPr>
        <w:pStyle w:val="ListBullet"/>
      </w:pPr>
      <w:r>
        <w:t>Responsable definitivo de coordinar la validación del acceso a obra.</w:t>
      </w:r>
    </w:p>
    <w:p>
      <w:pPr>
        <w:pStyle w:val="ListBullet"/>
      </w:pPr>
      <w:r>
        <w:t>Impacto económico de las modificaciones de planos solicitadas por el cliente.</w:t>
      </w:r>
    </w:p>
    <w:p>
      <w:pPr>
        <w:pStyle w:val="ListBullet"/>
      </w:pPr>
      <w:r>
        <w:t>Capacidad real de recuperar la desviación de fabricación sin modificar el calendario de expedición.</w:t>
      </w:r>
    </w:p>
    <w:p>
      <w:pPr>
        <w:pStyle w:val="ListBullet"/>
      </w:pPr>
      <w:r>
        <w:t>Necesidad o no de reparación de las dos soldaduras pendientes de reinspección.</w:t>
      </w:r>
    </w:p>
    <w:p/>
    <w:p>
      <w:r>
        <w:rPr>
          <w:b/>
        </w:rPr>
        <w:t xml:space="preserve">Nota: </w:t>
      </w:r>
      <w:r>
        <w:t>El documento contiene deliberadamente información con distintos niveles de detalle para utilizarla en ejercicios de análisis, reestructuración, validación y trabajo con Copilot.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2F5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35A8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D5A141667DB55541AE9BD05D8EEED319" ma:contentTypeVersion="10" ma:contentTypeDescription="Crear nuevo documento." ma:contentTypeScope="" ma:versionID="ebc80c0f73b964f45b3e9030a665a258">
  <xsd:schema xmlns:xsd="http://www.w3.org/2001/XMLSchema" xmlns:xs="http://www.w3.org/2001/XMLSchema" xmlns:p="http://schemas.microsoft.com/office/2006/metadata/properties" xmlns:ns2="d297e347-4daf-4140-bca2-62069c8f36f6" xmlns:ns3="477e2751-c0d9-469c-9ec2-39f305ecc0bb" targetNamespace="http://schemas.microsoft.com/office/2006/metadata/properties" ma:root="true" ma:fieldsID="6cbb88e483d9fc4a2a7b0ee233e11981" ns2:_="" ns3:_="">
    <xsd:import namespace="d297e347-4daf-4140-bca2-62069c8f36f6"/>
    <xsd:import namespace="477e2751-c0d9-469c-9ec2-39f305ecc0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7e347-4daf-4140-bca2-62069c8f3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5eee2df-ca6c-4b8a-871b-03e7037456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2751-c0d9-469c-9ec2-39f305ecc0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cd9080-abdc-4bfb-a7aa-bae0b3c3ed72}" ma:internalName="TaxCatchAll" ma:showField="CatchAllData" ma:web="477e2751-c0d9-469c-9ec2-39f305ecc0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97e347-4daf-4140-bca2-62069c8f36f6">
      <Terms xmlns="http://schemas.microsoft.com/office/infopath/2007/PartnerControls"/>
    </lcf76f155ced4ddcb4097134ff3c332f>
    <TaxCatchAll xmlns="477e2751-c0d9-469c-9ec2-39f305ecc0b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61B07B4-760A-4A6B-A6E0-8A09D27E7086}"/>
</file>

<file path=customXml/itemProps3.xml><?xml version="1.0" encoding="utf-8"?>
<ds:datastoreItem xmlns:ds="http://schemas.openxmlformats.org/officeDocument/2006/customXml" ds:itemID="{7A3EC103-A8CB-47A9-AF2F-7D4DFCED50C8}"/>
</file>

<file path=customXml/itemProps4.xml><?xml version="1.0" encoding="utf-8"?>
<ds:datastoreItem xmlns:ds="http://schemas.openxmlformats.org/officeDocument/2006/customXml" ds:itemID="{58554359-A28E-4584-B3D3-C1D5592A630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0x010100D5A141667DB55541AE9BD05D8EEED319</vt:lpwstr>
  </property>
</Properties>
</file>