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Información adicional · Proyecto BAYO</w:t>
      </w:r>
    </w:p>
    <w:p>
      <w:r>
        <w:rPr>
          <w:b/>
          <w:color w:val="5A5A5A"/>
          <w:sz w:val="18"/>
        </w:rPr>
        <w:t>CASO PRÁCTICO FICTICIO · Material preparado para formación</w:t>
      </w:r>
    </w:p>
    <w:tbl>
      <w:tblPr>
        <w:tblStyle w:val="TableGrid"/>
        <w:tblW w:type="auto" w:w="0"/>
        <w:jc w:val="left"/>
        <w:tblLook w:firstColumn="1" w:firstRow="1" w:lastColumn="0" w:lastRow="0" w:noHBand="0" w:noVBand="1" w:val="04A0"/>
      </w:tblPr>
      <w:tblGrid>
        <w:gridCol w:w="4986"/>
        <w:gridCol w:w="4986"/>
      </w:tblGrid>
      <w:tr>
        <w:tc>
          <w:tcPr>
            <w:tcW w:type="dxa" w:w="4986"/>
            <w:shd w:fill="E8EEF6"/>
            <w:vAlign w:val="center"/>
          </w:tcPr>
          <w:p>
            <w:r>
              <w:rPr>
                <w:b/>
              </w:rPr>
              <w:t>Documento</w:t>
            </w:r>
          </w:p>
        </w:tc>
        <w:tc>
          <w:tcPr>
            <w:tcW w:type="dxa" w:w="4986"/>
            <w:vAlign w:val="center"/>
          </w:tcPr>
          <w:p>
            <w:r>
              <w:t>Notas posteriores al informe de seguimiento</w:t>
            </w:r>
          </w:p>
        </w:tc>
      </w:tr>
      <w:tr>
        <w:tc>
          <w:tcPr>
            <w:tcW w:type="dxa" w:w="4986"/>
            <w:shd w:fill="E8EEF6"/>
            <w:vAlign w:val="center"/>
          </w:tcPr>
          <w:p>
            <w:r>
              <w:rPr>
                <w:b/>
              </w:rPr>
              <w:t>Fecha</w:t>
            </w:r>
          </w:p>
        </w:tc>
        <w:tc>
          <w:tcPr>
            <w:tcW w:type="dxa" w:w="4986"/>
            <w:vAlign w:val="center"/>
          </w:tcPr>
          <w:p>
            <w:r>
              <w:t>28/10/2026</w:t>
            </w:r>
          </w:p>
        </w:tc>
      </w:tr>
      <w:tr>
        <w:tc>
          <w:tcPr>
            <w:tcW w:type="dxa" w:w="4986"/>
            <w:shd w:fill="E8EEF6"/>
            <w:vAlign w:val="center"/>
          </w:tcPr>
          <w:p>
            <w:r>
              <w:rPr>
                <w:b/>
              </w:rPr>
              <w:t>Referencia</w:t>
            </w:r>
          </w:p>
        </w:tc>
        <w:tc>
          <w:tcPr>
            <w:tcW w:type="dxa" w:w="4986"/>
            <w:vAlign w:val="center"/>
          </w:tcPr>
          <w:p>
            <w:r>
              <w:t>Reunión interna + comunicaciones de proveedor y cliente</w:t>
            </w:r>
          </w:p>
        </w:tc>
      </w:tr>
      <w:tr>
        <w:tc>
          <w:tcPr>
            <w:tcW w:type="dxa" w:w="4986"/>
            <w:shd w:fill="E8EEF6"/>
            <w:vAlign w:val="center"/>
          </w:tcPr>
          <w:p>
            <w:r>
              <w:rPr>
                <w:b/>
              </w:rPr>
              <w:t>Relación</w:t>
            </w:r>
          </w:p>
        </w:tc>
        <w:tc>
          <w:tcPr>
            <w:tcW w:type="dxa" w:w="4986"/>
            <w:vAlign w:val="center"/>
          </w:tcPr>
          <w:p>
            <w:r>
              <w:t>Complementa al informe de 25/10/2026</w:t>
            </w:r>
          </w:p>
        </w:tc>
      </w:tr>
    </w:tbl>
    <w:p/>
    <w:p>
      <w:pPr>
        <w:pStyle w:val="Heading1"/>
      </w:pPr>
      <w:r>
        <w:t>1. Actualización de suministro</w:t>
      </w:r>
    </w:p>
    <w:p>
      <w:r>
        <w:t>El proveedor de tornillería ha comunicado que el segundo lote no llegará el 29/10 como se había previsto inicialmente. La nueva fecha comunicada es el 02/11/2026. El proveedor indica que intentará adelantar parte del material, pero no existe confirmación.</w:t>
      </w:r>
    </w:p>
    <w:p>
      <w:pPr>
        <w:pStyle w:val="Heading1"/>
      </w:pPr>
      <w:r>
        <w:t>2. Actualización de calidad</w:t>
      </w:r>
    </w:p>
    <w:p>
      <w:r>
        <w:t>La reinspección por ultrasonidos de las dos uniones pendientes se realizó el 27/10. Una unión quedó liberada. La segunda requiere una reparación local y nueva inspección posterior. Todavía no se ha indicado la fecha definitiva de la segunda revisión.</w:t>
      </w:r>
    </w:p>
    <w:p>
      <w:pPr>
        <w:pStyle w:val="Heading1"/>
      </w:pPr>
      <w:r>
        <w:t>3. Cambio comunicado por el cliente</w:t>
      </w:r>
    </w:p>
    <w:p>
      <w:r>
        <w:t>Durante la reunión del 28/10, el cliente planteó adelantar el inicio de montaje del 06/11 al 04/11/2026. BAYO no ha confirmado todavía que el cambio sea viable. El cliente solicita respuesta antes del 30/10.</w:t>
      </w:r>
    </w:p>
    <w:p>
      <w:r>
        <w:t>La zona de descarga se considera disponible, pero el permiso de acceso para el medio de elevación continúa pendiente de confirmación.</w:t>
      </w:r>
    </w:p>
    <w:p>
      <w:pPr>
        <w:pStyle w:val="Heading1"/>
      </w:pPr>
      <w:r>
        <w:t>4. Oficina técnica</w:t>
      </w:r>
    </w:p>
    <w:p>
      <w:r>
        <w:t>El detalle D-17 ha sido revisado internamente y existe una solución técnica propuesta. Falta la aprobación formal de la revisión antes de emitir documentación definitiva a producción.</w:t>
      </w:r>
    </w:p>
    <w:p>
      <w:pPr>
        <w:pStyle w:val="Heading1"/>
      </w:pPr>
      <w:r>
        <w:t>5. Producción y expedición</w:t>
      </w:r>
    </w:p>
    <w:p>
      <w:r>
        <w:t>Producción informa de que los conjuntos prioritarios para la primera expedición avanzan mejor que el promedio general del proyecto. Sin embargo, no se ha emitido una nueva previsión consolidada del porcentaje global de fabricación.</w:t>
      </w:r>
    </w:p>
    <w:p>
      <w:r>
        <w:t>La primera expedición se mantiene, por ahora, para el 03/11/2026, aunque el retraso de tornillería y la reparación pendiente de una unión podrían obligar a modificar la composición exacta del envío.</w:t>
      </w:r>
    </w:p>
    <w:p>
      <w:pPr>
        <w:pStyle w:val="Heading1"/>
      </w:pPr>
      <w:r>
        <w:t>6. Acuerdos de la reunión del 28/10</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fill="17365D"/>
          </w:tcPr>
          <w:p>
            <w:r>
              <w:rPr>
                <w:b/>
                <w:color w:val="FFFFFF"/>
              </w:rPr>
              <w:t>Acción</w:t>
            </w:r>
          </w:p>
        </w:tc>
        <w:tc>
          <w:tcPr>
            <w:tcW w:type="dxa" w:w="2493"/>
            <w:shd w:fill="17365D"/>
          </w:tcPr>
          <w:p>
            <w:r>
              <w:rPr>
                <w:b/>
                <w:color w:val="FFFFFF"/>
              </w:rPr>
              <w:t>Responsable</w:t>
            </w:r>
          </w:p>
        </w:tc>
        <w:tc>
          <w:tcPr>
            <w:tcW w:type="dxa" w:w="2493"/>
            <w:shd w:fill="17365D"/>
          </w:tcPr>
          <w:p>
            <w:r>
              <w:rPr>
                <w:b/>
                <w:color w:val="FFFFFF"/>
              </w:rPr>
              <w:t>Fecha objetivo</w:t>
            </w:r>
          </w:p>
        </w:tc>
        <w:tc>
          <w:tcPr>
            <w:tcW w:type="dxa" w:w="2493"/>
            <w:shd w:fill="17365D"/>
          </w:tcPr>
          <w:p>
            <w:r>
              <w:rPr>
                <w:b/>
                <w:color w:val="FFFFFF"/>
              </w:rPr>
              <w:t>Estado</w:t>
            </w:r>
          </w:p>
        </w:tc>
      </w:tr>
      <w:tr>
        <w:tc>
          <w:tcPr>
            <w:tcW w:type="dxa" w:w="2493"/>
          </w:tcPr>
          <w:p>
            <w:r>
              <w:t>Confirmar viabilidad del montaje el 04/11</w:t>
            </w:r>
          </w:p>
        </w:tc>
        <w:tc>
          <w:tcPr>
            <w:tcW w:type="dxa" w:w="2493"/>
          </w:tcPr>
          <w:p>
            <w:r>
              <w:t>Jefe de proyecto</w:t>
            </w:r>
          </w:p>
        </w:tc>
        <w:tc>
          <w:tcPr>
            <w:tcW w:type="dxa" w:w="2493"/>
          </w:tcPr>
          <w:p>
            <w:r>
              <w:t>30/10/2026</w:t>
            </w:r>
          </w:p>
        </w:tc>
        <w:tc>
          <w:tcPr>
            <w:tcW w:type="dxa" w:w="2493"/>
          </w:tcPr>
          <w:p>
            <w:r>
              <w:t>Pendiente</w:t>
            </w:r>
          </w:p>
        </w:tc>
      </w:tr>
      <w:tr>
        <w:tc>
          <w:tcPr>
            <w:tcW w:type="dxa" w:w="2493"/>
          </w:tcPr>
          <w:p>
            <w:r>
              <w:t>Solicitar fecha firme de tornillería</w:t>
            </w:r>
          </w:p>
        </w:tc>
        <w:tc>
          <w:tcPr>
            <w:tcW w:type="dxa" w:w="2493"/>
          </w:tcPr>
          <w:p>
            <w:r>
              <w:t>Compras</w:t>
            </w:r>
          </w:p>
        </w:tc>
        <w:tc>
          <w:tcPr>
            <w:tcW w:type="dxa" w:w="2493"/>
          </w:tcPr>
          <w:p>
            <w:r>
              <w:t>29/10/2026</w:t>
            </w:r>
          </w:p>
        </w:tc>
        <w:tc>
          <w:tcPr>
            <w:tcW w:type="dxa" w:w="2493"/>
          </w:tcPr>
          <w:p>
            <w:r>
              <w:t>En curso</w:t>
            </w:r>
          </w:p>
        </w:tc>
      </w:tr>
      <w:tr>
        <w:tc>
          <w:tcPr>
            <w:tcW w:type="dxa" w:w="2493"/>
          </w:tcPr>
          <w:p>
            <w:r>
              <w:t>Cerrar aprobación del detalle D-17</w:t>
            </w:r>
          </w:p>
        </w:tc>
        <w:tc>
          <w:tcPr>
            <w:tcW w:type="dxa" w:w="2493"/>
          </w:tcPr>
          <w:p>
            <w:r>
              <w:t>Oficina técnica</w:t>
            </w:r>
          </w:p>
        </w:tc>
        <w:tc>
          <w:tcPr>
            <w:tcW w:type="dxa" w:w="2493"/>
          </w:tcPr>
          <w:p>
            <w:r>
              <w:t>29/10/2026</w:t>
            </w:r>
          </w:p>
        </w:tc>
        <w:tc>
          <w:tcPr>
            <w:tcW w:type="dxa" w:w="2493"/>
          </w:tcPr>
          <w:p>
            <w:r>
              <w:t>Pendiente</w:t>
            </w:r>
          </w:p>
        </w:tc>
      </w:tr>
      <w:tr>
        <w:tc>
          <w:tcPr>
            <w:tcW w:type="dxa" w:w="2493"/>
          </w:tcPr>
          <w:p>
            <w:r>
              <w:t>Programar reparación y reinspección de soldadura</w:t>
            </w:r>
          </w:p>
        </w:tc>
        <w:tc>
          <w:tcPr>
            <w:tcW w:type="dxa" w:w="2493"/>
          </w:tcPr>
          <w:p>
            <w:r>
              <w:t>Calidad / Producción</w:t>
            </w:r>
          </w:p>
        </w:tc>
        <w:tc>
          <w:tcPr>
            <w:tcW w:type="dxa" w:w="2493"/>
          </w:tcPr>
          <w:p>
            <w:r>
              <w:t>No indicada</w:t>
            </w:r>
          </w:p>
        </w:tc>
        <w:tc>
          <w:tcPr>
            <w:tcW w:type="dxa" w:w="2493"/>
          </w:tcPr>
          <w:p>
            <w:r>
              <w:t>Pendiente</w:t>
            </w:r>
          </w:p>
        </w:tc>
      </w:tr>
      <w:tr>
        <w:tc>
          <w:tcPr>
            <w:tcW w:type="dxa" w:w="2493"/>
          </w:tcPr>
          <w:p>
            <w:r>
              <w:t>Confirmar permiso de acceso de medio de elevación</w:t>
            </w:r>
          </w:p>
        </w:tc>
        <w:tc>
          <w:tcPr>
            <w:tcW w:type="dxa" w:w="2493"/>
          </w:tcPr>
          <w:p>
            <w:r>
              <w:t>No definido</w:t>
            </w:r>
          </w:p>
        </w:tc>
        <w:tc>
          <w:tcPr>
            <w:tcW w:type="dxa" w:w="2493"/>
          </w:tcPr>
          <w:p>
            <w:r>
              <w:t>Antes del montaje</w:t>
            </w:r>
          </w:p>
        </w:tc>
        <w:tc>
          <w:tcPr>
            <w:tcW w:type="dxa" w:w="2493"/>
          </w:tcPr>
          <w:p>
            <w:r>
              <w:t>Pendiente</w:t>
            </w:r>
          </w:p>
        </w:tc>
      </w:tr>
    </w:tbl>
    <w:p/>
    <w:p>
      <w:pPr>
        <w:pStyle w:val="Heading1"/>
      </w:pPr>
      <w:r>
        <w:t>7. Cuestiones abiertas</w:t>
      </w:r>
    </w:p>
    <w:p>
      <w:pPr>
        <w:pStyle w:val="ListBullet"/>
      </w:pPr>
      <w:r>
        <w:t>¿Es viable adelantar el montaje al 04/11 sin aumentar el riesgo sobre la primera expedición?</w:t>
      </w:r>
    </w:p>
    <w:p>
      <w:pPr>
        <w:pStyle w:val="ListBullet"/>
      </w:pPr>
      <w:r>
        <w:t>¿Qué conjuntos concretos dependen del segundo lote de tornillería?</w:t>
      </w:r>
    </w:p>
    <w:p>
      <w:pPr>
        <w:pStyle w:val="ListBullet"/>
      </w:pPr>
      <w:r>
        <w:t>¿Cuándo podrá liberarse la unión que requiere reparación?</w:t>
      </w:r>
    </w:p>
    <w:p>
      <w:pPr>
        <w:pStyle w:val="ListBullet"/>
      </w:pPr>
      <w:r>
        <w:t>¿Quién asume finalmente la coordinación del permiso de acceso del medio de elevación?</w:t>
      </w:r>
    </w:p>
    <w:p>
      <w:pPr>
        <w:pStyle w:val="ListBullet"/>
      </w:pPr>
      <w:r>
        <w:t>¿Existe impacto económico de los cambios solicitados por el cliente?</w:t>
      </w:r>
    </w:p>
    <w:p>
      <w:pPr>
        <w:pStyle w:val="Heading1"/>
      </w:pPr>
      <w:r>
        <w:t>8. Cambios respecto al informe del 25/10</w:t>
      </w:r>
    </w:p>
    <w:p>
      <w:r>
        <w:t>Este documento contiene información posterior que actualiza varios puntos del informe anterior: cambia la previsión de entrega de tornillería, se conoce el resultado de la reinspección de soldaduras, aparece una propuesta de adelanto del montaje y existe una solución técnica propuesta para el detalle D-17. Algunas cuestiones continúan sin confirmación definitiva.</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2F5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35A8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D5A141667DB55541AE9BD05D8EEED319" ma:contentTypeVersion="10" ma:contentTypeDescription="Crear nuevo documento." ma:contentTypeScope="" ma:versionID="ebc80c0f73b964f45b3e9030a665a258">
  <xsd:schema xmlns:xsd="http://www.w3.org/2001/XMLSchema" xmlns:xs="http://www.w3.org/2001/XMLSchema" xmlns:p="http://schemas.microsoft.com/office/2006/metadata/properties" xmlns:ns2="d297e347-4daf-4140-bca2-62069c8f36f6" xmlns:ns3="477e2751-c0d9-469c-9ec2-39f305ecc0bb" targetNamespace="http://schemas.microsoft.com/office/2006/metadata/properties" ma:root="true" ma:fieldsID="6cbb88e483d9fc4a2a7b0ee233e11981" ns2:_="" ns3:_="">
    <xsd:import namespace="d297e347-4daf-4140-bca2-62069c8f36f6"/>
    <xsd:import namespace="477e2751-c0d9-469c-9ec2-39f305ecc0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7e347-4daf-4140-bca2-62069c8f3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5eee2df-ca6c-4b8a-871b-03e7037456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2751-c0d9-469c-9ec2-39f305ecc0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cd9080-abdc-4bfb-a7aa-bae0b3c3ed72}" ma:internalName="TaxCatchAll" ma:showField="CatchAllData" ma:web="477e2751-c0d9-469c-9ec2-39f305ecc0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97e347-4daf-4140-bca2-62069c8f36f6">
      <Terms xmlns="http://schemas.microsoft.com/office/infopath/2007/PartnerControls"/>
    </lcf76f155ced4ddcb4097134ff3c332f>
    <TaxCatchAll xmlns="477e2751-c0d9-469c-9ec2-39f305ecc0b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DB8F5DC-41B6-4A49-A342-009F48883650}"/>
</file>

<file path=customXml/itemProps3.xml><?xml version="1.0" encoding="utf-8"?>
<ds:datastoreItem xmlns:ds="http://schemas.openxmlformats.org/officeDocument/2006/customXml" ds:itemID="{6774076F-DE73-453E-8B76-692F22B9B5B0}"/>
</file>

<file path=customXml/itemProps4.xml><?xml version="1.0" encoding="utf-8"?>
<ds:datastoreItem xmlns:ds="http://schemas.openxmlformats.org/officeDocument/2006/customXml" ds:itemID="{61B283F6-42AF-474B-8347-B93C6CC97726}"/>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0x010100D5A141667DB55541AE9BD05D8EEED319</vt:lpwstr>
  </property>
</Properties>
</file>